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90" w:rsidRDefault="006C4E92" w:rsidP="00B95F90">
      <w:pPr>
        <w:jc w:val="center"/>
        <w:rPr>
          <w:sz w:val="24"/>
          <w:szCs w:val="24"/>
        </w:rPr>
      </w:pPr>
      <w:bookmarkStart w:id="0" w:name="_GoBack"/>
      <w:bookmarkEnd w:id="0"/>
      <w:r w:rsidRPr="007163D8">
        <w:rPr>
          <w:sz w:val="24"/>
          <w:szCs w:val="24"/>
        </w:rPr>
        <w:t>Metodický pokyn</w:t>
      </w:r>
      <w:r w:rsidR="004114DF">
        <w:rPr>
          <w:sz w:val="24"/>
          <w:szCs w:val="24"/>
        </w:rPr>
        <w:t xml:space="preserve"> </w:t>
      </w:r>
    </w:p>
    <w:p w:rsidR="00257F17" w:rsidRPr="007163D8" w:rsidRDefault="006C4E92" w:rsidP="00B95F90">
      <w:pPr>
        <w:jc w:val="center"/>
        <w:rPr>
          <w:sz w:val="24"/>
          <w:szCs w:val="24"/>
        </w:rPr>
      </w:pPr>
      <w:r w:rsidRPr="007163D8">
        <w:rPr>
          <w:sz w:val="24"/>
          <w:szCs w:val="24"/>
        </w:rPr>
        <w:t xml:space="preserve">k použití </w:t>
      </w:r>
      <w:proofErr w:type="spellStart"/>
      <w:r w:rsidRPr="007163D8">
        <w:rPr>
          <w:sz w:val="24"/>
          <w:szCs w:val="24"/>
        </w:rPr>
        <w:t>idarucizumabu</w:t>
      </w:r>
      <w:proofErr w:type="spellEnd"/>
      <w:r w:rsidRPr="007163D8">
        <w:rPr>
          <w:sz w:val="24"/>
          <w:szCs w:val="24"/>
        </w:rPr>
        <w:t xml:space="preserve"> (</w:t>
      </w:r>
      <w:r w:rsidR="00CA7E1F" w:rsidRPr="007163D8">
        <w:rPr>
          <w:b/>
          <w:sz w:val="24"/>
          <w:szCs w:val="24"/>
        </w:rPr>
        <w:t>PRAXBINDU</w:t>
      </w:r>
      <w:r w:rsidRPr="007163D8">
        <w:rPr>
          <w:sz w:val="24"/>
          <w:szCs w:val="24"/>
        </w:rPr>
        <w:t xml:space="preserve">) </w:t>
      </w:r>
      <w:r w:rsidR="007163D8">
        <w:rPr>
          <w:sz w:val="24"/>
          <w:szCs w:val="24"/>
        </w:rPr>
        <w:t xml:space="preserve">– </w:t>
      </w:r>
      <w:r w:rsidRPr="007163D8">
        <w:rPr>
          <w:sz w:val="24"/>
          <w:szCs w:val="24"/>
        </w:rPr>
        <w:t xml:space="preserve">specifického </w:t>
      </w:r>
      <w:proofErr w:type="spellStart"/>
      <w:r w:rsidRPr="007163D8">
        <w:rPr>
          <w:sz w:val="24"/>
          <w:szCs w:val="24"/>
        </w:rPr>
        <w:t>antidota</w:t>
      </w:r>
      <w:proofErr w:type="spellEnd"/>
      <w:r w:rsidRPr="007163D8">
        <w:rPr>
          <w:sz w:val="24"/>
          <w:szCs w:val="24"/>
        </w:rPr>
        <w:t xml:space="preserve"> </w:t>
      </w:r>
      <w:proofErr w:type="spellStart"/>
      <w:r w:rsidRPr="007163D8">
        <w:rPr>
          <w:sz w:val="24"/>
          <w:szCs w:val="24"/>
        </w:rPr>
        <w:t>dabigatran</w:t>
      </w:r>
      <w:proofErr w:type="spellEnd"/>
      <w:r w:rsidRPr="007163D8">
        <w:rPr>
          <w:sz w:val="24"/>
          <w:szCs w:val="24"/>
        </w:rPr>
        <w:t xml:space="preserve"> </w:t>
      </w:r>
      <w:proofErr w:type="spellStart"/>
      <w:r w:rsidRPr="007163D8">
        <w:rPr>
          <w:sz w:val="24"/>
          <w:szCs w:val="24"/>
        </w:rPr>
        <w:t>etexilátu</w:t>
      </w:r>
      <w:proofErr w:type="spellEnd"/>
      <w:r w:rsidRPr="007163D8">
        <w:rPr>
          <w:sz w:val="24"/>
          <w:szCs w:val="24"/>
        </w:rPr>
        <w:t xml:space="preserve"> (</w:t>
      </w:r>
      <w:proofErr w:type="spellStart"/>
      <w:r w:rsidRPr="00E22F55">
        <w:rPr>
          <w:b/>
          <w:sz w:val="24"/>
          <w:szCs w:val="24"/>
        </w:rPr>
        <w:t>Pradaxy</w:t>
      </w:r>
      <w:proofErr w:type="spellEnd"/>
      <w:r w:rsidRPr="007163D8">
        <w:rPr>
          <w:sz w:val="24"/>
          <w:szCs w:val="24"/>
        </w:rPr>
        <w:t>)</w:t>
      </w:r>
    </w:p>
    <w:p w:rsidR="006C4E92" w:rsidRPr="00CA7E1F" w:rsidRDefault="006C4E92">
      <w:pPr>
        <w:rPr>
          <w:b/>
          <w:i/>
        </w:rPr>
      </w:pPr>
      <w:r w:rsidRPr="00CA7E1F">
        <w:rPr>
          <w:b/>
          <w:i/>
        </w:rPr>
        <w:t xml:space="preserve">Důvod podání: </w:t>
      </w:r>
    </w:p>
    <w:p w:rsidR="006C4E92" w:rsidRDefault="006C4E92" w:rsidP="006C4E92">
      <w:pPr>
        <w:pStyle w:val="Odstavecseseznamem"/>
        <w:numPr>
          <w:ilvl w:val="0"/>
          <w:numId w:val="1"/>
        </w:numPr>
      </w:pPr>
      <w:r>
        <w:t xml:space="preserve">neztišitelné krvácení provázející účinek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etexilátu</w:t>
      </w:r>
      <w:proofErr w:type="spellEnd"/>
      <w:r w:rsidR="007163D8">
        <w:t xml:space="preserve"> (</w:t>
      </w:r>
      <w:proofErr w:type="spellStart"/>
      <w:r w:rsidR="007163D8">
        <w:t>Pradaxy</w:t>
      </w:r>
      <w:proofErr w:type="spellEnd"/>
      <w:r w:rsidR="007163D8">
        <w:t>)</w:t>
      </w:r>
    </w:p>
    <w:p w:rsidR="006C4E92" w:rsidRDefault="006C4E92" w:rsidP="006C4E92">
      <w:pPr>
        <w:pStyle w:val="Odstavecseseznamem"/>
        <w:numPr>
          <w:ilvl w:val="0"/>
          <w:numId w:val="1"/>
        </w:numPr>
      </w:pPr>
      <w:r>
        <w:t xml:space="preserve">příprava naléhavého chirurgického zákroku či jiné invazivní intervence u nemocného léčeného </w:t>
      </w:r>
      <w:proofErr w:type="spellStart"/>
      <w:r w:rsidR="007163D8">
        <w:t>dabigatran</w:t>
      </w:r>
      <w:proofErr w:type="spellEnd"/>
      <w:r w:rsidR="007163D8">
        <w:t xml:space="preserve"> </w:t>
      </w:r>
      <w:proofErr w:type="spellStart"/>
      <w:r w:rsidR="007163D8">
        <w:t>etexilátem</w:t>
      </w:r>
      <w:proofErr w:type="spellEnd"/>
      <w:r w:rsidR="007163D8">
        <w:t xml:space="preserve"> (</w:t>
      </w:r>
      <w:proofErr w:type="spellStart"/>
      <w:r>
        <w:t>Pradaxou</w:t>
      </w:r>
      <w:proofErr w:type="spellEnd"/>
      <w:r w:rsidR="007163D8">
        <w:t>)</w:t>
      </w:r>
    </w:p>
    <w:p w:rsidR="006C4E92" w:rsidRPr="00CA7E1F" w:rsidRDefault="006C4E92" w:rsidP="006C4E92">
      <w:pPr>
        <w:rPr>
          <w:b/>
          <w:i/>
        </w:rPr>
      </w:pPr>
      <w:r w:rsidRPr="00CA7E1F">
        <w:rPr>
          <w:b/>
          <w:i/>
        </w:rPr>
        <w:t>Podmínky podání:</w:t>
      </w:r>
    </w:p>
    <w:p w:rsidR="006C4E92" w:rsidRDefault="004114DF" w:rsidP="006C4E92">
      <w:pPr>
        <w:pStyle w:val="Odstavecseseznamem"/>
        <w:numPr>
          <w:ilvl w:val="0"/>
          <w:numId w:val="2"/>
        </w:numPr>
      </w:pPr>
      <w:r>
        <w:t>souhlas hematologa (tel. ………………</w:t>
      </w:r>
      <w:proofErr w:type="gramStart"/>
      <w:r>
        <w:t>…..)</w:t>
      </w:r>
      <w:proofErr w:type="gramEnd"/>
    </w:p>
    <w:p w:rsidR="006C4E92" w:rsidRDefault="006C4E92" w:rsidP="006C4E92">
      <w:pPr>
        <w:pStyle w:val="Odstavecseseznamem"/>
        <w:numPr>
          <w:ilvl w:val="0"/>
          <w:numId w:val="2"/>
        </w:numPr>
      </w:pPr>
      <w:r>
        <w:t>prov</w:t>
      </w:r>
      <w:r w:rsidR="007163D8">
        <w:t xml:space="preserve">edení </w:t>
      </w:r>
      <w:r w:rsidR="00171226">
        <w:t>odběru na vyšetře</w:t>
      </w:r>
      <w:r w:rsidR="004114DF">
        <w:t>ní krevního obrazu (KO)</w:t>
      </w:r>
      <w:r w:rsidR="00E22F55">
        <w:t xml:space="preserve"> a koagulace</w:t>
      </w:r>
      <w:r w:rsidR="00171226">
        <w:t xml:space="preserve"> – </w:t>
      </w:r>
      <w:r>
        <w:t>APTT</w:t>
      </w:r>
      <w:r w:rsidR="00171226">
        <w:t>, PT</w:t>
      </w:r>
      <w:r w:rsidR="00E22F55">
        <w:t>, TT</w:t>
      </w:r>
      <w:r w:rsidR="00171226">
        <w:t xml:space="preserve"> a </w:t>
      </w:r>
      <w:proofErr w:type="spellStart"/>
      <w:r w:rsidR="00171226">
        <w:t>dilutovaného</w:t>
      </w:r>
      <w:proofErr w:type="spellEnd"/>
      <w:r w:rsidR="00171226">
        <w:t xml:space="preserve"> trombi</w:t>
      </w:r>
      <w:r>
        <w:t xml:space="preserve">nového času – </w:t>
      </w:r>
      <w:proofErr w:type="spellStart"/>
      <w:r>
        <w:t>dTT</w:t>
      </w:r>
      <w:proofErr w:type="spellEnd"/>
      <w:r>
        <w:t xml:space="preserve"> (</w:t>
      </w:r>
      <w:proofErr w:type="spellStart"/>
      <w:r w:rsidRPr="00E22F55">
        <w:rPr>
          <w:i/>
        </w:rPr>
        <w:t>Hemoclot</w:t>
      </w:r>
      <w:proofErr w:type="spellEnd"/>
      <w:r>
        <w:t>)</w:t>
      </w:r>
      <w:r w:rsidR="007163D8">
        <w:t>; rozumí se krom dalších potřebných odběrů</w:t>
      </w:r>
    </w:p>
    <w:p w:rsidR="006C4E92" w:rsidRPr="00CA7E1F" w:rsidRDefault="006C4E92" w:rsidP="006C4E92">
      <w:pPr>
        <w:rPr>
          <w:b/>
          <w:i/>
        </w:rPr>
      </w:pPr>
      <w:r w:rsidRPr="00CA7E1F">
        <w:rPr>
          <w:b/>
          <w:i/>
        </w:rPr>
        <w:t>Způsob podání</w:t>
      </w:r>
      <w:r w:rsidR="007163D8">
        <w:rPr>
          <w:b/>
          <w:i/>
        </w:rPr>
        <w:t xml:space="preserve"> </w:t>
      </w:r>
      <w:proofErr w:type="spellStart"/>
      <w:r w:rsidR="007163D8">
        <w:rPr>
          <w:b/>
          <w:i/>
        </w:rPr>
        <w:t>antidota</w:t>
      </w:r>
      <w:proofErr w:type="spellEnd"/>
      <w:r w:rsidRPr="00CA7E1F">
        <w:rPr>
          <w:b/>
          <w:i/>
        </w:rPr>
        <w:t>:</w:t>
      </w:r>
    </w:p>
    <w:p w:rsidR="00E22F55" w:rsidRDefault="006C4E92" w:rsidP="00E22F55">
      <w:pPr>
        <w:ind w:left="708"/>
      </w:pPr>
      <w:r>
        <w:t xml:space="preserve">Aplikace </w:t>
      </w:r>
      <w:r w:rsidRPr="00E22F55">
        <w:rPr>
          <w:b/>
        </w:rPr>
        <w:t>5 g</w:t>
      </w:r>
      <w:r>
        <w:t xml:space="preserve"> (2x2,5 g) </w:t>
      </w:r>
      <w:proofErr w:type="spellStart"/>
      <w:proofErr w:type="gramStart"/>
      <w:r>
        <w:t>i</w:t>
      </w:r>
      <w:r w:rsidR="007163D8">
        <w:t>.v</w:t>
      </w:r>
      <w:proofErr w:type="spellEnd"/>
      <w:r w:rsidR="007163D8">
        <w:t>.</w:t>
      </w:r>
      <w:proofErr w:type="gramEnd"/>
      <w:r w:rsidR="007163D8">
        <w:t xml:space="preserve"> nebo kontinuální </w:t>
      </w:r>
      <w:proofErr w:type="spellStart"/>
      <w:r w:rsidR="007163D8">
        <w:t>i.v</w:t>
      </w:r>
      <w:proofErr w:type="spellEnd"/>
      <w:r w:rsidR="007163D8">
        <w:t>. infuzí</w:t>
      </w:r>
      <w:r>
        <w:t xml:space="preserve"> fyziologického roztoku během 10 minut.</w:t>
      </w:r>
      <w:r w:rsidR="00E22F55">
        <w:t xml:space="preserve"> </w:t>
      </w:r>
      <w:r>
        <w:t>(V případě již zavedené intravenózní linky po jejím proplachu 10 ml fyziologického roztoku</w:t>
      </w:r>
      <w:r w:rsidR="007163D8">
        <w:t>).</w:t>
      </w:r>
    </w:p>
    <w:p w:rsidR="006C4E92" w:rsidRPr="00CA7E1F" w:rsidRDefault="006C4E92" w:rsidP="006C4E92">
      <w:pPr>
        <w:rPr>
          <w:b/>
          <w:i/>
        </w:rPr>
      </w:pPr>
      <w:r w:rsidRPr="00CA7E1F">
        <w:rPr>
          <w:b/>
          <w:i/>
        </w:rPr>
        <w:t>Kontrola po podání:</w:t>
      </w:r>
    </w:p>
    <w:p w:rsidR="00D32D37" w:rsidRDefault="00A7159F" w:rsidP="00A7159F">
      <w:pPr>
        <w:pStyle w:val="Odstavecseseznamem"/>
        <w:numPr>
          <w:ilvl w:val="0"/>
          <w:numId w:val="4"/>
        </w:numPr>
      </w:pPr>
      <w:r>
        <w:t>Kontrola</w:t>
      </w:r>
      <w:r w:rsidR="006C4E92">
        <w:t xml:space="preserve"> KO, APTT, </w:t>
      </w:r>
      <w:r w:rsidR="00E22F55">
        <w:t xml:space="preserve">PT, </w:t>
      </w:r>
      <w:r w:rsidR="006C4E92">
        <w:t xml:space="preserve">TT, </w:t>
      </w:r>
      <w:proofErr w:type="spellStart"/>
      <w:r w:rsidR="006C4E92">
        <w:t>dTT</w:t>
      </w:r>
      <w:proofErr w:type="spellEnd"/>
      <w:r w:rsidR="006C4E92">
        <w:t xml:space="preserve"> </w:t>
      </w:r>
      <w:r w:rsidR="00107AB8">
        <w:t>(</w:t>
      </w:r>
      <w:proofErr w:type="spellStart"/>
      <w:r w:rsidR="00107AB8">
        <w:t>Hemoclot</w:t>
      </w:r>
      <w:proofErr w:type="spellEnd"/>
      <w:r w:rsidR="00107AB8">
        <w:t>)</w:t>
      </w:r>
      <w:r>
        <w:t xml:space="preserve"> </w:t>
      </w:r>
      <w:r w:rsidR="00D32D37">
        <w:t xml:space="preserve">ihned </w:t>
      </w:r>
      <w:r w:rsidR="00D32D37" w:rsidRPr="00A7159F">
        <w:rPr>
          <w:b/>
        </w:rPr>
        <w:t>po</w:t>
      </w:r>
      <w:r w:rsidR="00D32D37">
        <w:t xml:space="preserve"> podání </w:t>
      </w:r>
      <w:proofErr w:type="spellStart"/>
      <w:r w:rsidR="007163D8">
        <w:t>a</w:t>
      </w:r>
      <w:r w:rsidR="00927622">
        <w:t>ntidota</w:t>
      </w:r>
      <w:proofErr w:type="spellEnd"/>
      <w:r w:rsidR="00927622">
        <w:t xml:space="preserve"> nebo</w:t>
      </w:r>
      <w:r w:rsidR="007163D8">
        <w:t xml:space="preserve"> před samotným zákrokem </w:t>
      </w:r>
    </w:p>
    <w:p w:rsidR="00A76508" w:rsidRDefault="00A76508" w:rsidP="006C4E92">
      <w:pPr>
        <w:pStyle w:val="Odstavecseseznamem"/>
        <w:numPr>
          <w:ilvl w:val="0"/>
          <w:numId w:val="4"/>
        </w:numPr>
      </w:pPr>
      <w:r>
        <w:t xml:space="preserve">Kontrola KO, PT, APTT, TT, </w:t>
      </w:r>
      <w:proofErr w:type="spellStart"/>
      <w:r>
        <w:t>dTT</w:t>
      </w:r>
      <w:proofErr w:type="spellEnd"/>
      <w:r w:rsidR="00D32D37">
        <w:t xml:space="preserve"> </w:t>
      </w:r>
      <w:r>
        <w:t>(</w:t>
      </w:r>
      <w:proofErr w:type="spellStart"/>
      <w:r>
        <w:t>Hemoclot</w:t>
      </w:r>
      <w:proofErr w:type="spellEnd"/>
      <w:r>
        <w:t xml:space="preserve">) </w:t>
      </w:r>
      <w:r w:rsidRPr="00CF096A">
        <w:rPr>
          <w:b/>
        </w:rPr>
        <w:t>za 24 hodin</w:t>
      </w:r>
      <w:r>
        <w:t xml:space="preserve"> po podání </w:t>
      </w:r>
      <w:proofErr w:type="spellStart"/>
      <w:r>
        <w:t>antidota</w:t>
      </w:r>
      <w:proofErr w:type="spellEnd"/>
      <w:r w:rsidR="002228E6">
        <w:t xml:space="preserve"> </w:t>
      </w:r>
    </w:p>
    <w:p w:rsidR="006C4E92" w:rsidRPr="00CA7E1F" w:rsidRDefault="006C4E92" w:rsidP="006C4E92">
      <w:pPr>
        <w:rPr>
          <w:b/>
          <w:i/>
        </w:rPr>
      </w:pPr>
      <w:r w:rsidRPr="00CA7E1F">
        <w:rPr>
          <w:b/>
          <w:i/>
        </w:rPr>
        <w:t>Pokračování antikoagulační léčby:</w:t>
      </w:r>
    </w:p>
    <w:p w:rsidR="006C4E92" w:rsidRDefault="006C4E92" w:rsidP="006C4E92">
      <w:pPr>
        <w:pStyle w:val="Odstavecseseznamem"/>
        <w:numPr>
          <w:ilvl w:val="0"/>
          <w:numId w:val="5"/>
        </w:numPr>
      </w:pPr>
      <w:r>
        <w:t xml:space="preserve">v případě, že není pacient ohrožován krvácením, lze za 24 hod. po podání </w:t>
      </w:r>
      <w:proofErr w:type="spellStart"/>
      <w:r>
        <w:t>antidota</w:t>
      </w:r>
      <w:proofErr w:type="spellEnd"/>
      <w:r w:rsidR="00F26982">
        <w:t xml:space="preserve"> pokračovat v podávání </w:t>
      </w:r>
      <w:proofErr w:type="spellStart"/>
      <w:r w:rsidR="00F26982">
        <w:t>Pradaxy</w:t>
      </w:r>
      <w:proofErr w:type="spellEnd"/>
      <w:r w:rsidR="00F26982">
        <w:t xml:space="preserve"> v obvyklé dávce</w:t>
      </w:r>
    </w:p>
    <w:p w:rsidR="00F26982" w:rsidRDefault="00D32D37" w:rsidP="006C4E92">
      <w:pPr>
        <w:pStyle w:val="Odstavecseseznamem"/>
        <w:numPr>
          <w:ilvl w:val="0"/>
          <w:numId w:val="5"/>
        </w:numPr>
      </w:pPr>
      <w:r>
        <w:t>v případě</w:t>
      </w:r>
      <w:r w:rsidR="00082523">
        <w:t xml:space="preserve">, že je pacient ohrožován </w:t>
      </w:r>
      <w:r w:rsidR="00F26982">
        <w:t>krvácením a je nutné pokračování antitrombotické léčby, je možno podávat LMWH v profyl</w:t>
      </w:r>
      <w:r w:rsidR="00927622">
        <w:t xml:space="preserve">aktické až nižší léčebné dávce = </w:t>
      </w:r>
      <w:r w:rsidR="00F26982">
        <w:t>0,5-0,6 IU/ml anti-</w:t>
      </w:r>
      <w:proofErr w:type="spellStart"/>
      <w:r w:rsidR="00F26982">
        <w:t>Xa</w:t>
      </w:r>
      <w:proofErr w:type="spellEnd"/>
      <w:r w:rsidR="00F26982">
        <w:t xml:space="preserve"> aktivity</w:t>
      </w:r>
    </w:p>
    <w:p w:rsidR="00F26982" w:rsidRPr="00CA7E1F" w:rsidRDefault="00F26982" w:rsidP="00F26982">
      <w:pPr>
        <w:rPr>
          <w:b/>
          <w:i/>
        </w:rPr>
      </w:pPr>
      <w:r w:rsidRPr="00CA7E1F">
        <w:rPr>
          <w:b/>
          <w:i/>
        </w:rPr>
        <w:t>Poznámky:</w:t>
      </w:r>
    </w:p>
    <w:p w:rsidR="00DB082C" w:rsidRDefault="00927622" w:rsidP="00DB082C">
      <w:pPr>
        <w:spacing w:line="240" w:lineRule="auto"/>
        <w:ind w:firstLine="709"/>
      </w:pPr>
      <w:proofErr w:type="spellStart"/>
      <w:r w:rsidRPr="00DB082C">
        <w:rPr>
          <w:b/>
        </w:rPr>
        <w:t>Praxbind</w:t>
      </w:r>
      <w:proofErr w:type="spellEnd"/>
      <w:r w:rsidR="004114DF">
        <w:t xml:space="preserve"> je uložen </w:t>
      </w:r>
      <w:proofErr w:type="gramStart"/>
      <w:r w:rsidR="004114DF">
        <w:t>na</w:t>
      </w:r>
      <w:proofErr w:type="gramEnd"/>
      <w:r w:rsidR="004114DF">
        <w:t xml:space="preserve"> ………………………………………………………….</w:t>
      </w:r>
    </w:p>
    <w:p w:rsidR="00DB082C" w:rsidRDefault="00E22F55" w:rsidP="00DB082C">
      <w:pPr>
        <w:spacing w:line="240" w:lineRule="auto"/>
        <w:ind w:firstLine="709"/>
      </w:pPr>
      <w:r>
        <w:t xml:space="preserve">Plánovaný </w:t>
      </w:r>
      <w:r w:rsidR="004114DF">
        <w:t xml:space="preserve">zákrok lze provést do ½ hodiny </w:t>
      </w:r>
      <w:r>
        <w:t>o</w:t>
      </w:r>
      <w:r w:rsidR="004114DF">
        <w:t>d</w:t>
      </w:r>
      <w:r>
        <w:t xml:space="preserve"> podání </w:t>
      </w:r>
      <w:proofErr w:type="spellStart"/>
      <w:r>
        <w:t>antidota</w:t>
      </w:r>
      <w:proofErr w:type="spellEnd"/>
      <w:r w:rsidR="002228E6">
        <w:t>.</w:t>
      </w:r>
    </w:p>
    <w:p w:rsidR="00CF2E67" w:rsidRPr="00927622" w:rsidRDefault="00CF2E67" w:rsidP="00DB082C">
      <w:pPr>
        <w:ind w:firstLine="708"/>
      </w:pPr>
      <w:proofErr w:type="spellStart"/>
      <w:r w:rsidRPr="00DB082C">
        <w:rPr>
          <w:b/>
        </w:rPr>
        <w:t>Praxbind</w:t>
      </w:r>
      <w:proofErr w:type="spellEnd"/>
      <w:r w:rsidR="004114DF">
        <w:t xml:space="preserve"> </w:t>
      </w:r>
      <w:r w:rsidRPr="00927622">
        <w:t xml:space="preserve">v případě potřeby </w:t>
      </w:r>
      <w:r w:rsidR="004114DF">
        <w:t xml:space="preserve">je možno podat v další dávce </w:t>
      </w:r>
    </w:p>
    <w:p w:rsidR="00CF2E67" w:rsidRDefault="00927622" w:rsidP="00DB082C">
      <w:pPr>
        <w:spacing w:after="0" w:line="240" w:lineRule="auto"/>
        <w:ind w:left="708"/>
      </w:pPr>
      <w:proofErr w:type="spellStart"/>
      <w:r w:rsidRPr="00DB082C">
        <w:rPr>
          <w:b/>
        </w:rPr>
        <w:t>Praxbind</w:t>
      </w:r>
      <w:proofErr w:type="spellEnd"/>
      <w:r w:rsidR="00CF096A">
        <w:t xml:space="preserve"> se vykazoval jako</w:t>
      </w:r>
      <w:r w:rsidR="00F26982" w:rsidRPr="00927622">
        <w:t xml:space="preserve"> § 16 dodatečně</w:t>
      </w:r>
      <w:r w:rsidRPr="00927622">
        <w:t>;</w:t>
      </w:r>
      <w:r w:rsidR="00CF096A">
        <w:t xml:space="preserve"> vykázá</w:t>
      </w:r>
      <w:r w:rsidR="00371F9D" w:rsidRPr="00927622">
        <w:t xml:space="preserve">ní a hlášení </w:t>
      </w:r>
      <w:r w:rsidRPr="00927622">
        <w:t xml:space="preserve">jeho </w:t>
      </w:r>
      <w:r w:rsidR="00371F9D" w:rsidRPr="00927622">
        <w:t xml:space="preserve">použití </w:t>
      </w:r>
      <w:r w:rsidR="002228E6">
        <w:t>zajišťoval</w:t>
      </w:r>
      <w:r w:rsidRPr="00927622">
        <w:t xml:space="preserve"> lékař, který jej</w:t>
      </w:r>
      <w:r w:rsidR="002228E6">
        <w:t xml:space="preserve"> podal</w:t>
      </w:r>
      <w:r w:rsidR="00CF2E67">
        <w:t xml:space="preserve">.  </w:t>
      </w:r>
    </w:p>
    <w:p w:rsidR="00371F9D" w:rsidRPr="00927622" w:rsidRDefault="00CF2E67" w:rsidP="00927622">
      <w:pPr>
        <w:pStyle w:val="Odstavecseseznamem"/>
        <w:spacing w:after="0" w:line="240" w:lineRule="auto"/>
        <w:contextualSpacing w:val="0"/>
      </w:pPr>
      <w:r>
        <w:t xml:space="preserve">Přípravek </w:t>
      </w:r>
      <w:r w:rsidR="00CF096A">
        <w:t>je nyní</w:t>
      </w:r>
      <w:r>
        <w:t xml:space="preserve"> zařazen do číselníku VZP jak „</w:t>
      </w:r>
      <w:proofErr w:type="spellStart"/>
      <w:r>
        <w:t>Nlek</w:t>
      </w:r>
      <w:proofErr w:type="spellEnd"/>
      <w:r>
        <w:t>“ a od 1.</w:t>
      </w:r>
      <w:r w:rsidR="00CF096A">
        <w:t xml:space="preserve"> </w:t>
      </w:r>
      <w:r>
        <w:t>11.</w:t>
      </w:r>
      <w:r w:rsidR="00CF096A">
        <w:t xml:space="preserve"> </w:t>
      </w:r>
      <w:r>
        <w:t xml:space="preserve">2016 i do číselníku Svazu zdravotních pojišťoven ČR jako „NHVLP“. </w:t>
      </w:r>
    </w:p>
    <w:p w:rsidR="002228E6" w:rsidRDefault="00927622" w:rsidP="004114DF">
      <w:pPr>
        <w:pStyle w:val="Odstavecseseznamem"/>
        <w:tabs>
          <w:tab w:val="left" w:pos="3165"/>
        </w:tabs>
        <w:spacing w:after="0" w:line="240" w:lineRule="auto"/>
        <w:contextualSpacing w:val="0"/>
      </w:pPr>
      <w:r w:rsidRPr="00927622">
        <w:tab/>
      </w:r>
      <w:r w:rsidR="002228E6">
        <w:t xml:space="preserve"> </w:t>
      </w:r>
    </w:p>
    <w:p w:rsidR="0076166D" w:rsidRPr="00A276F7" w:rsidRDefault="004114DF" w:rsidP="002228E6">
      <w:pPr>
        <w:spacing w:after="100" w:afterAutospacing="1" w:line="240" w:lineRule="exact"/>
        <w:rPr>
          <w:sz w:val="20"/>
          <w:szCs w:val="20"/>
        </w:rPr>
      </w:pPr>
      <w:r w:rsidRPr="00A276F7">
        <w:rPr>
          <w:i/>
          <w:sz w:val="20"/>
          <w:szCs w:val="20"/>
        </w:rPr>
        <w:t xml:space="preserve">Ke dni </w:t>
      </w:r>
      <w:proofErr w:type="gramStart"/>
      <w:r w:rsidRPr="00A276F7">
        <w:rPr>
          <w:i/>
          <w:sz w:val="20"/>
          <w:szCs w:val="20"/>
        </w:rPr>
        <w:t>22.11.2016</w:t>
      </w:r>
      <w:proofErr w:type="gramEnd"/>
      <w:r w:rsidRPr="00A276F7">
        <w:rPr>
          <w:i/>
          <w:sz w:val="20"/>
          <w:szCs w:val="20"/>
        </w:rPr>
        <w:t xml:space="preserve"> v</w:t>
      </w:r>
      <w:r w:rsidR="0076166D" w:rsidRPr="00A276F7">
        <w:rPr>
          <w:i/>
          <w:sz w:val="20"/>
          <w:szCs w:val="20"/>
        </w:rPr>
        <w:t>ypracoval</w:t>
      </w:r>
      <w:r w:rsidR="00082523" w:rsidRPr="00A276F7">
        <w:rPr>
          <w:i/>
          <w:sz w:val="20"/>
          <w:szCs w:val="20"/>
        </w:rPr>
        <w:t>i</w:t>
      </w:r>
      <w:r w:rsidR="0076166D" w:rsidRPr="00A276F7">
        <w:rPr>
          <w:i/>
          <w:sz w:val="20"/>
          <w:szCs w:val="20"/>
        </w:rPr>
        <w:t>:</w:t>
      </w:r>
      <w:r w:rsidR="0076166D" w:rsidRPr="00A276F7">
        <w:rPr>
          <w:sz w:val="20"/>
          <w:szCs w:val="20"/>
        </w:rPr>
        <w:t xml:space="preserve"> prof. MUDr. Miroslav Penka, CSc. </w:t>
      </w:r>
      <w:r w:rsidR="00082523" w:rsidRPr="00A276F7">
        <w:rPr>
          <w:sz w:val="20"/>
          <w:szCs w:val="20"/>
        </w:rPr>
        <w:t>a</w:t>
      </w:r>
      <w:r w:rsidR="0076166D" w:rsidRPr="00A276F7">
        <w:rPr>
          <w:sz w:val="20"/>
          <w:szCs w:val="20"/>
        </w:rPr>
        <w:t> prim. MUDr.</w:t>
      </w:r>
      <w:r w:rsidR="00082523" w:rsidRPr="00A276F7">
        <w:rPr>
          <w:sz w:val="20"/>
          <w:szCs w:val="20"/>
        </w:rPr>
        <w:t xml:space="preserve"> Martin</w:t>
      </w:r>
      <w:r w:rsidR="0076166D" w:rsidRPr="00A276F7">
        <w:rPr>
          <w:sz w:val="20"/>
          <w:szCs w:val="20"/>
        </w:rPr>
        <w:t xml:space="preserve"> Doleč</w:t>
      </w:r>
      <w:r w:rsidR="00082523" w:rsidRPr="00A276F7">
        <w:rPr>
          <w:sz w:val="20"/>
          <w:szCs w:val="20"/>
        </w:rPr>
        <w:t>e</w:t>
      </w:r>
      <w:r w:rsidR="0076166D" w:rsidRPr="00A276F7">
        <w:rPr>
          <w:sz w:val="20"/>
          <w:szCs w:val="20"/>
        </w:rPr>
        <w:t xml:space="preserve">k, </w:t>
      </w:r>
      <w:proofErr w:type="gramStart"/>
      <w:r w:rsidR="0076166D" w:rsidRPr="00A276F7">
        <w:rPr>
          <w:sz w:val="20"/>
          <w:szCs w:val="20"/>
        </w:rPr>
        <w:t>PhD.</w:t>
      </w:r>
      <w:r w:rsidRPr="00A276F7">
        <w:rPr>
          <w:sz w:val="20"/>
          <w:szCs w:val="20"/>
        </w:rPr>
        <w:t xml:space="preserve"> a schválila</w:t>
      </w:r>
      <w:proofErr w:type="gramEnd"/>
      <w:r w:rsidRPr="00A276F7">
        <w:rPr>
          <w:sz w:val="20"/>
          <w:szCs w:val="20"/>
        </w:rPr>
        <w:t xml:space="preserve"> ČSTH</w:t>
      </w:r>
      <w:r w:rsidR="0076166D" w:rsidRPr="00A276F7">
        <w:rPr>
          <w:sz w:val="20"/>
          <w:szCs w:val="20"/>
        </w:rPr>
        <w:t xml:space="preserve"> </w:t>
      </w:r>
      <w:r w:rsidR="00A276F7" w:rsidRPr="00A276F7">
        <w:rPr>
          <w:sz w:val="20"/>
          <w:szCs w:val="20"/>
        </w:rPr>
        <w:t>ČLS JEP</w:t>
      </w:r>
      <w:r w:rsidR="0076166D" w:rsidRPr="00A276F7">
        <w:rPr>
          <w:sz w:val="20"/>
          <w:szCs w:val="20"/>
        </w:rPr>
        <w:t xml:space="preserve">                                                     </w:t>
      </w:r>
    </w:p>
    <w:sectPr w:rsidR="0076166D" w:rsidRPr="00A2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8B3"/>
    <w:multiLevelType w:val="hybridMultilevel"/>
    <w:tmpl w:val="F788B8B6"/>
    <w:lvl w:ilvl="0" w:tplc="D78EFB3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3B5428"/>
    <w:multiLevelType w:val="hybridMultilevel"/>
    <w:tmpl w:val="8868A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14D"/>
    <w:multiLevelType w:val="hybridMultilevel"/>
    <w:tmpl w:val="ECB6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6661C"/>
    <w:multiLevelType w:val="hybridMultilevel"/>
    <w:tmpl w:val="05667C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43A5"/>
    <w:multiLevelType w:val="hybridMultilevel"/>
    <w:tmpl w:val="CA20E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0268"/>
    <w:multiLevelType w:val="hybridMultilevel"/>
    <w:tmpl w:val="573CF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10A33"/>
    <w:multiLevelType w:val="hybridMultilevel"/>
    <w:tmpl w:val="79563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3DF6"/>
    <w:multiLevelType w:val="hybridMultilevel"/>
    <w:tmpl w:val="35DA6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92"/>
    <w:rsid w:val="00082523"/>
    <w:rsid w:val="00107AB8"/>
    <w:rsid w:val="00171226"/>
    <w:rsid w:val="002228E6"/>
    <w:rsid w:val="00257F17"/>
    <w:rsid w:val="00371F9D"/>
    <w:rsid w:val="004114DF"/>
    <w:rsid w:val="00561582"/>
    <w:rsid w:val="006C4E92"/>
    <w:rsid w:val="007163D8"/>
    <w:rsid w:val="0076166D"/>
    <w:rsid w:val="00927622"/>
    <w:rsid w:val="00A276F7"/>
    <w:rsid w:val="00A7159F"/>
    <w:rsid w:val="00A76508"/>
    <w:rsid w:val="00AE2D2F"/>
    <w:rsid w:val="00B95F90"/>
    <w:rsid w:val="00CA7E1F"/>
    <w:rsid w:val="00CF096A"/>
    <w:rsid w:val="00CF2E67"/>
    <w:rsid w:val="00D32D37"/>
    <w:rsid w:val="00DB082C"/>
    <w:rsid w:val="00E22F55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Miroslav</dc:creator>
  <cp:lastModifiedBy>Klainerova Marketa</cp:lastModifiedBy>
  <cp:revision>2</cp:revision>
  <cp:lastPrinted>2016-11-23T15:12:00Z</cp:lastPrinted>
  <dcterms:created xsi:type="dcterms:W3CDTF">2016-11-29T08:58:00Z</dcterms:created>
  <dcterms:modified xsi:type="dcterms:W3CDTF">2016-11-29T08:58:00Z</dcterms:modified>
</cp:coreProperties>
</file>